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DE247A">
        <w:rPr>
          <w:rFonts w:asciiTheme="minorHAnsi" w:hAnsiTheme="minorHAnsi"/>
          <w:b/>
          <w:sz w:val="26"/>
          <w:szCs w:val="26"/>
        </w:rPr>
        <w:t xml:space="preserve">urządzenia wielofunkcyjnego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A1057C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0E6F38">
        <w:rPr>
          <w:rFonts w:asciiTheme="minorHAnsi" w:hAnsiTheme="minorHAnsi"/>
          <w:sz w:val="24"/>
        </w:rPr>
        <w:t>sprzętu komputerowego: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</w:t>
      </w:r>
      <w:r w:rsidRPr="00C338B5">
        <w:rPr>
          <w:rFonts w:asciiTheme="minorHAnsi" w:hAnsiTheme="minorHAnsi"/>
          <w:sz w:val="24"/>
        </w:rPr>
        <w:lastRenderedPageBreak/>
        <w:t>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9501B8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lastRenderedPageBreak/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1057C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59</cp:revision>
  <cp:lastPrinted>2017-04-26T07:11:00Z</cp:lastPrinted>
  <dcterms:created xsi:type="dcterms:W3CDTF">2013-02-24T11:02:00Z</dcterms:created>
  <dcterms:modified xsi:type="dcterms:W3CDTF">2018-09-19T11:54:00Z</dcterms:modified>
</cp:coreProperties>
</file>